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56C4BB49"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Pr="00E47079">
        <w:rPr>
          <w:lang w:val="en-US"/>
        </w:rPr>
        <w:t>R1-</w:t>
      </w:r>
      <w:r w:rsidR="00D358D6">
        <w:rPr>
          <w:lang w:val="en-US"/>
        </w:rPr>
        <w:t>1901117</w:t>
      </w:r>
    </w:p>
    <w:p w14:paraId="3F16E870" w14:textId="7DBE243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January,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5451BD7B" w:rsidR="00904CFD" w:rsidRPr="00561DAC" w:rsidRDefault="00904CFD" w:rsidP="00904CFD">
      <w:pPr>
        <w:pStyle w:val="3GPPHeader"/>
      </w:pPr>
      <w:r w:rsidRPr="00327997">
        <w:t>Title:</w:t>
      </w:r>
      <w:r w:rsidRPr="00327997">
        <w:tab/>
      </w:r>
      <w:r w:rsidR="00D358D6">
        <w:t>Additional s</w:t>
      </w:r>
      <w:r w:rsidR="00FD11AE">
        <w:t xml:space="preserve">imulation results on low PAPR RS </w:t>
      </w:r>
    </w:p>
    <w:p w14:paraId="00EFAC0D" w14:textId="5EDEE8FB"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w:t>
      </w:r>
      <w:r w:rsidR="00ED55C7">
        <w:rPr>
          <w:lang w:val="en-US"/>
        </w:rPr>
        <w:t>8.6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7EA122FF" w14:textId="1522A30F" w:rsidR="00306EF0" w:rsidRDefault="00306EF0" w:rsidP="004743CD">
      <w:r>
        <w:t xml:space="preserve">This contribution focus on the BLER performance of low PAPR sequences. The simulation results with time-domain pi/2-BPSK DMRS are always with frequency domain spectrum shaping (FDSS). Binary sequences for allocations larger than 4 RBs are based on the Rel-15 PRBS, otherwise the binary sequences are selected from the CGS in the joint proposal </w:t>
      </w:r>
      <w:r>
        <w:fldChar w:fldCharType="begin"/>
      </w:r>
      <w:r>
        <w:instrText xml:space="preserve"> REF _Ref534647442 \r \h </w:instrText>
      </w:r>
      <w:r>
        <w:fldChar w:fldCharType="separate"/>
      </w:r>
      <w:r>
        <w:t>[1]</w:t>
      </w:r>
      <w:r>
        <w:fldChar w:fldCharType="end"/>
      </w:r>
      <w:r>
        <w:t xml:space="preserve">. For results </w:t>
      </w:r>
      <w:r w:rsidR="00CA6EC9">
        <w:t xml:space="preserve">without FDSS, the Rel-15 </w:t>
      </w:r>
      <w:r>
        <w:t xml:space="preserve">DMRS </w:t>
      </w:r>
      <w:r w:rsidR="002E3518">
        <w:t xml:space="preserve">mapping </w:t>
      </w:r>
      <w:r>
        <w:t>are used.</w:t>
      </w:r>
      <w:r w:rsidR="004743CD">
        <w:t xml:space="preserve"> Detailed simulation parameters are attached in the appendix (similar to those in </w:t>
      </w:r>
      <w:r w:rsidR="004743CD">
        <w:fldChar w:fldCharType="begin"/>
      </w:r>
      <w:r w:rsidR="004743CD">
        <w:instrText xml:space="preserve"> REF _Ref534892808 \r \h </w:instrText>
      </w:r>
      <w:r w:rsidR="004743CD">
        <w:fldChar w:fldCharType="separate"/>
      </w:r>
      <w:r w:rsidR="004743CD">
        <w:t>[2]</w:t>
      </w:r>
      <w:r w:rsidR="004743CD">
        <w:fldChar w:fldCharType="end"/>
      </w:r>
      <w:r w:rsidR="004743CD">
        <w:t>).</w:t>
      </w:r>
    </w:p>
    <w:p w14:paraId="17347805" w14:textId="385B6F61" w:rsidR="00407E14" w:rsidRDefault="00306EF0" w:rsidP="00306EF0">
      <w:pPr>
        <w:pStyle w:val="Heading1"/>
      </w:pPr>
      <w:r>
        <w:t>Impact of FDSS</w:t>
      </w:r>
    </w:p>
    <w:p w14:paraId="0578EF98" w14:textId="209BC0F1" w:rsidR="00306EF0" w:rsidRDefault="00306EF0" w:rsidP="00306EF0">
      <w:pPr>
        <w:pStyle w:val="BodyText"/>
        <w:spacing w:before="240"/>
      </w:pPr>
      <w:r>
        <w:t>It is known that with frequency domain spectrum shaping (FDSS)</w:t>
      </w:r>
      <w:r w:rsidR="00FB01F3">
        <w:t xml:space="preserve"> in conjunction with pi/2-BPSK</w:t>
      </w:r>
      <w:r>
        <w:t xml:space="preserve">, the PAPR can be reduced roughly up to 4dB and by then gain in performance by applying less power back-off. On the other hand, it </w:t>
      </w:r>
      <w:r w:rsidR="00FB01F3">
        <w:t xml:space="preserve">is </w:t>
      </w:r>
      <w:r>
        <w:t>also known that FDSS impacts the channel estimation performance such that the BLER performance decreases. The aim here is to provide some further insight of the combing effect of the reduced power back-off due to the FDSS and the potential negative channel estimation impact due to the FDSS on the DMRS.</w:t>
      </w:r>
    </w:p>
    <w:p w14:paraId="26CC9F73" w14:textId="0B8C47C7" w:rsidR="00306EF0" w:rsidRPr="00306EF0" w:rsidRDefault="00306EF0" w:rsidP="00306EF0">
      <w:r>
        <w:t>Due to FDSS, the frequency spectrum of the reference signals will be changed such that uneven amplitude of pilots spread out in the frequency domain. Because the shape of the FDSS changes according to the size of the resource allocation (number of PRBs), it is of particular interests to study its impact to the receiver side CE and equalizations. Therefore, evaluations for the impact of FDSS with varying resource allocation sizes are provided below</w:t>
      </w:r>
    </w:p>
    <w:p w14:paraId="46FE9008" w14:textId="70F63C99" w:rsidR="00561DAC" w:rsidRDefault="00306EF0" w:rsidP="00306EF0">
      <w:pPr>
        <w:pStyle w:val="Heading2"/>
      </w:pPr>
      <w:r>
        <w:t>Gold Sequence (length &gt; 24</w:t>
      </w:r>
      <w:r w:rsidR="00ED4A02">
        <w:t>)</w:t>
      </w:r>
    </w:p>
    <w:p w14:paraId="491A0BE0" w14:textId="020AC339" w:rsidR="00B84E55" w:rsidRDefault="00B84E55" w:rsidP="001421D8">
      <w:r>
        <w:t>The CGS for DFTS-OFDM DMRS is implemented following the block-diagram below:</w:t>
      </w:r>
    </w:p>
    <w:p w14:paraId="71F0000D" w14:textId="63A9E354" w:rsidR="00B84E55" w:rsidRDefault="00AE03E8" w:rsidP="001421D8">
      <w:r>
        <w:rPr>
          <w:noProof/>
        </w:rPr>
        <w:drawing>
          <wp:inline distT="0" distB="0" distL="0" distR="0" wp14:anchorId="0782FB24" wp14:editId="6406E667">
            <wp:extent cx="5943600" cy="451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FTS-Gol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451485"/>
                    </a:xfrm>
                    <a:prstGeom prst="rect">
                      <a:avLst/>
                    </a:prstGeom>
                  </pic:spPr>
                </pic:pic>
              </a:graphicData>
            </a:graphic>
          </wp:inline>
        </w:drawing>
      </w:r>
    </w:p>
    <w:p w14:paraId="73C92C2D" w14:textId="0A1C51BA" w:rsidR="00354AC0" w:rsidRDefault="00A8792B" w:rsidP="00A8792B">
      <w:pPr>
        <w:pStyle w:val="Caption"/>
      </w:pPr>
      <w:bookmarkStart w:id="0" w:name="_Ref534969873"/>
      <w:r>
        <w:t xml:space="preserve">Figure </w:t>
      </w:r>
      <w:r>
        <w:fldChar w:fldCharType="begin"/>
      </w:r>
      <w:r>
        <w:instrText xml:space="preserve"> SEQ Figure \* ARABIC </w:instrText>
      </w:r>
      <w:r>
        <w:fldChar w:fldCharType="separate"/>
      </w:r>
      <w:r w:rsidR="00087CB9">
        <w:rPr>
          <w:noProof/>
        </w:rPr>
        <w:t>1</w:t>
      </w:r>
      <w:r>
        <w:fldChar w:fldCharType="end"/>
      </w:r>
      <w:bookmarkEnd w:id="0"/>
      <w:r>
        <w:t>. Block diagram of DFTS-OFDM DMRS with pi/2 BPSK modulation</w:t>
      </w:r>
      <w:r w:rsidR="00305C02">
        <w:t>.</w:t>
      </w:r>
    </w:p>
    <w:p w14:paraId="4A7953B0" w14:textId="4A7D961F" w:rsidR="00B84E55" w:rsidRDefault="00A551B1" w:rsidP="001421D8">
      <w:r>
        <w:t xml:space="preserve">The release-15 pseudo-random sequence is </w:t>
      </w:r>
      <w:r w:rsidR="003E3C12">
        <w:t xml:space="preserve">a Gold sequence and is </w:t>
      </w:r>
      <w:r>
        <w:t>generated according to the definition in Section 5.2.1 of TS38.211 before applying pi/2 BPSK modulation. The pre-DFT sequence is defined as follows:</w:t>
      </w:r>
    </w:p>
    <w:p w14:paraId="20197D62" w14:textId="3890D88B" w:rsidR="00A551B1" w:rsidRPr="00A551B1" w:rsidRDefault="00A551B1" w:rsidP="001421D8">
      <m:oMathPara>
        <m:oMath>
          <m:r>
            <w:rPr>
              <w:rFonts w:ascii="Cambria Math" w:hAnsi="Cambria Math"/>
            </w:rPr>
            <m:t>s</m:t>
          </m:r>
          <m:d>
            <m:dPr>
              <m:ctrlPr>
                <w:rPr>
                  <w:rFonts w:ascii="Cambria Math" w:hAnsi="Cambria Math"/>
                  <w:bCs/>
                  <w:i/>
                  <w:iCs/>
                </w:rPr>
              </m:ctrlPr>
            </m:dPr>
            <m:e>
              <m:r>
                <w:rPr>
                  <w:rFonts w:ascii="Cambria Math" w:hAnsi="Cambria Math"/>
                </w:rPr>
                <m:t>n</m:t>
              </m:r>
            </m:e>
          </m:d>
          <m:r>
            <w:rPr>
              <w:rFonts w:ascii="Cambria Math" w:hAnsi="Cambria Math"/>
            </w:rPr>
            <m:t>=</m:t>
          </m:r>
          <m:f>
            <m:fPr>
              <m:ctrlPr>
                <w:rPr>
                  <w:rFonts w:ascii="Cambria Math" w:hAnsi="Cambria Math"/>
                  <w:bCs/>
                  <w:i/>
                  <w:iCs/>
                </w:rPr>
              </m:ctrlPr>
            </m:fPr>
            <m:num>
              <m:sSup>
                <m:sSupPr>
                  <m:ctrlPr>
                    <w:rPr>
                      <w:rFonts w:ascii="Cambria Math" w:hAnsi="Cambria Math"/>
                      <w:bCs/>
                      <w:i/>
                      <w:iCs/>
                    </w:rPr>
                  </m:ctrlPr>
                </m:sSupPr>
                <m:e>
                  <m:r>
                    <w:rPr>
                      <w:rFonts w:ascii="Cambria Math" w:hAnsi="Cambria Math"/>
                    </w:rPr>
                    <m:t>e</m:t>
                  </m:r>
                </m:e>
                <m:sup>
                  <m:r>
                    <w:rPr>
                      <w:rFonts w:ascii="Cambria Math" w:hAnsi="Cambria Math"/>
                    </w:rPr>
                    <m:t>j</m:t>
                  </m:r>
                  <m:f>
                    <m:fPr>
                      <m:ctrlPr>
                        <w:rPr>
                          <w:rFonts w:ascii="Cambria Math" w:hAnsi="Cambria Math"/>
                          <w:bCs/>
                          <w:i/>
                          <w:iCs/>
                        </w:rPr>
                      </m:ctrlPr>
                    </m:fPr>
                    <m:num>
                      <m:r>
                        <w:rPr>
                          <w:rFonts w:ascii="Cambria Math" w:hAnsi="Cambria Math"/>
                        </w:rPr>
                        <m:t>π</m:t>
                      </m:r>
                    </m:num>
                    <m:den>
                      <m:r>
                        <w:rPr>
                          <w:rFonts w:ascii="Cambria Math" w:hAnsi="Cambria Math"/>
                        </w:rPr>
                        <m:t>2</m:t>
                      </m:r>
                    </m:den>
                  </m:f>
                  <m:d>
                    <m:dPr>
                      <m:ctrlPr>
                        <w:rPr>
                          <w:rFonts w:ascii="Cambria Math" w:hAnsi="Cambria Math"/>
                          <w:bCs/>
                          <w:i/>
                          <w:iCs/>
                        </w:rPr>
                      </m:ctrlPr>
                    </m:dPr>
                    <m:e>
                      <m:r>
                        <w:rPr>
                          <w:rFonts w:ascii="Cambria Math" w:hAnsi="Cambria Math"/>
                        </w:rPr>
                        <m:t xml:space="preserve">n </m:t>
                      </m:r>
                      <m:r>
                        <m:rPr>
                          <m:sty m:val="p"/>
                        </m:rPr>
                        <w:rPr>
                          <w:rFonts w:ascii="Cambria Math" w:hAnsi="Cambria Math"/>
                        </w:rPr>
                        <m:t>mod</m:t>
                      </m:r>
                      <m:r>
                        <w:rPr>
                          <w:rFonts w:ascii="Cambria Math" w:hAnsi="Cambria Math"/>
                        </w:rPr>
                        <m:t xml:space="preserve"> 2</m:t>
                      </m:r>
                    </m:e>
                  </m:d>
                </m:sup>
              </m:sSup>
            </m:num>
            <m:den>
              <m:rad>
                <m:radPr>
                  <m:degHide m:val="1"/>
                  <m:ctrlPr>
                    <w:rPr>
                      <w:rFonts w:ascii="Cambria Math" w:hAnsi="Cambria Math"/>
                      <w:bCs/>
                      <w:i/>
                      <w:iCs/>
                    </w:rPr>
                  </m:ctrlPr>
                </m:radPr>
                <m:deg/>
                <m:e>
                  <m:r>
                    <w:rPr>
                      <w:rFonts w:ascii="Cambria Math" w:hAnsi="Cambria Math"/>
                    </w:rPr>
                    <m:t>2</m:t>
                  </m:r>
                </m:e>
              </m:rad>
            </m:den>
          </m:f>
          <m:r>
            <w:rPr>
              <w:rFonts w:ascii="Cambria Math" w:hAnsi="Cambria Math"/>
            </w:rPr>
            <m:t>[</m:t>
          </m:r>
          <m:d>
            <m:dPr>
              <m:ctrlPr>
                <w:rPr>
                  <w:rFonts w:ascii="Cambria Math" w:hAnsi="Cambria Math"/>
                  <w:bCs/>
                  <w:i/>
                  <w:iCs/>
                </w:rPr>
              </m:ctrlPr>
            </m:dPr>
            <m:e>
              <m:r>
                <w:rPr>
                  <w:rFonts w:ascii="Cambria Math" w:hAnsi="Cambria Math"/>
                </w:rPr>
                <m:t>1-2⋅c</m:t>
              </m:r>
              <m:d>
                <m:dPr>
                  <m:ctrlPr>
                    <w:rPr>
                      <w:rFonts w:ascii="Cambria Math" w:hAnsi="Cambria Math"/>
                      <w:bCs/>
                      <w:i/>
                      <w:iCs/>
                    </w:rPr>
                  </m:ctrlPr>
                </m:dPr>
                <m:e>
                  <m:r>
                    <w:rPr>
                      <w:rFonts w:ascii="Cambria Math" w:hAnsi="Cambria Math"/>
                    </w:rPr>
                    <m:t>n</m:t>
                  </m:r>
                </m:e>
              </m:d>
            </m:e>
          </m:d>
          <m:r>
            <w:rPr>
              <w:rFonts w:ascii="Cambria Math" w:hAnsi="Cambria Math"/>
            </w:rPr>
            <m:t>+j(1-2⋅c(n)))]</m:t>
          </m:r>
        </m:oMath>
      </m:oMathPara>
    </w:p>
    <w:p w14:paraId="419D32FB" w14:textId="77777777" w:rsidR="00A551B1" w:rsidRDefault="00A551B1" w:rsidP="00A551B1">
      <w:pPr>
        <w:rPr>
          <w:rFonts w:eastAsia="Times New Roman"/>
          <w:bCs/>
          <w:iCs/>
        </w:rPr>
      </w:pPr>
      <w:r>
        <w:t xml:space="preserve">where </w:t>
      </w:r>
      <m:oMath>
        <m:r>
          <w:rPr>
            <w:rFonts w:ascii="Cambria Math" w:eastAsia="Times New Roman" w:hAnsi="Cambria Math"/>
          </w:rPr>
          <m:t>c</m:t>
        </m:r>
        <m:d>
          <m:dPr>
            <m:ctrlPr>
              <w:rPr>
                <w:rFonts w:ascii="Cambria Math" w:eastAsia="Times New Roman" w:hAnsi="Cambria Math"/>
                <w:bCs/>
                <w:i/>
                <w:iCs/>
              </w:rPr>
            </m:ctrlPr>
          </m:dPr>
          <m:e>
            <m:r>
              <w:rPr>
                <w:rFonts w:ascii="Cambria Math" w:eastAsia="Times New Roman" w:hAnsi="Cambria Math"/>
              </w:rPr>
              <m:t>i</m:t>
            </m:r>
          </m:e>
        </m:d>
      </m:oMath>
      <w:r>
        <w:rPr>
          <w:rFonts w:eastAsia="Times New Roman"/>
          <w:bCs/>
          <w:iCs/>
        </w:rPr>
        <w:t xml:space="preserve"> is defined in Section 5.2.1 of TS 38.211. The pseudo-random sequence generator shall be initialized with (same as in NR Rel-15)</w:t>
      </w:r>
    </w:p>
    <w:p w14:paraId="46B991D0" w14:textId="77777777" w:rsidR="00A551B1" w:rsidRPr="001B491B" w:rsidRDefault="00712D8D" w:rsidP="00A551B1">
      <w:pPr>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27D0218B" w14:textId="20ACC71A" w:rsidR="00A551B1" w:rsidRDefault="00A551B1" w:rsidP="00A551B1">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0</m:t>
            </m:r>
          </m:sup>
        </m:sSubSup>
        <m:r>
          <w:rPr>
            <w:rFonts w:ascii="Cambria Math" w:hAnsi="Cambria Math"/>
          </w:rPr>
          <m:t>=5</m:t>
        </m:r>
      </m:oMath>
      <w:r>
        <w:t xml:space="preserve"> are used in the equation.</w:t>
      </w:r>
    </w:p>
    <w:p w14:paraId="15BE3BA0" w14:textId="52DCF0E6" w:rsidR="00A55537" w:rsidRDefault="00A551B1" w:rsidP="001421D8">
      <w:r>
        <w:t>In order to map to the comb-2 subcarriers after DFT, a block-wise time domain OCC code [</w:t>
      </w:r>
      <w:r w:rsidR="00AB64AD">
        <w:t>1 1</w:t>
      </w:r>
      <w:r>
        <w:t>]</w:t>
      </w:r>
      <w:r w:rsidR="00AB64AD">
        <w:t xml:space="preserve"> has been applied to the sequence s(n) to obtain [s(n), s(n)] before DFT operation. </w:t>
      </w:r>
      <w:r w:rsidR="00CB5E0B">
        <w:t xml:space="preserve">It is also worth noting that in this contribution we focus on the BLER performance of CGS without the selection process as presented in </w:t>
      </w:r>
      <w:r w:rsidR="003E6B6F">
        <w:fldChar w:fldCharType="begin"/>
      </w:r>
      <w:r w:rsidR="003E6B6F">
        <w:instrText xml:space="preserve"> REF _Ref534647442 \r \h </w:instrText>
      </w:r>
      <w:r w:rsidR="003E6B6F">
        <w:fldChar w:fldCharType="separate"/>
      </w:r>
      <w:r w:rsidR="003E6B6F">
        <w:t>[1]</w:t>
      </w:r>
      <w:r w:rsidR="003E6B6F">
        <w:fldChar w:fldCharType="end"/>
      </w:r>
      <w:r w:rsidR="003E6B6F">
        <w:t xml:space="preserve">, </w:t>
      </w:r>
      <w:r w:rsidR="00CB5E0B">
        <w:t>because the selection process does not impact the CE and equalization performance among other</w:t>
      </w:r>
      <w:r w:rsidR="003E6B6F">
        <w:t xml:space="preserve"> things</w:t>
      </w:r>
      <w:r w:rsidR="00CB5E0B">
        <w:t xml:space="preserve">. </w:t>
      </w:r>
    </w:p>
    <w:p w14:paraId="7272EADB" w14:textId="47A94C32" w:rsidR="00087CB9" w:rsidRDefault="00087CB9" w:rsidP="001421D8">
      <w:r>
        <w:lastRenderedPageBreak/>
        <w:t xml:space="preserve">From </w:t>
      </w:r>
      <w:r>
        <w:fldChar w:fldCharType="begin"/>
      </w:r>
      <w:r>
        <w:instrText xml:space="preserve"> REF _Ref534970392 \h </w:instrText>
      </w:r>
      <w:r>
        <w:fldChar w:fldCharType="separate"/>
      </w:r>
      <w:r>
        <w:t xml:space="preserve">Figure </w:t>
      </w:r>
      <w:r>
        <w:rPr>
          <w:noProof/>
        </w:rPr>
        <w:t>2</w:t>
      </w:r>
      <w:r>
        <w:fldChar w:fldCharType="end"/>
      </w:r>
      <w:r>
        <w:t xml:space="preserve">and </w:t>
      </w:r>
      <w:r>
        <w:fldChar w:fldCharType="begin"/>
      </w:r>
      <w:r>
        <w:instrText xml:space="preserve"> REF _Ref534970395 \h </w:instrText>
      </w:r>
      <w:r>
        <w:fldChar w:fldCharType="separate"/>
      </w:r>
      <w:r>
        <w:t xml:space="preserve">Figure </w:t>
      </w:r>
      <w:r>
        <w:rPr>
          <w:noProof/>
        </w:rPr>
        <w:t>3</w:t>
      </w:r>
      <w:r>
        <w:fldChar w:fldCharType="end"/>
      </w:r>
      <w:r>
        <w:t>, the following observations can be made:</w:t>
      </w:r>
    </w:p>
    <w:p w14:paraId="484E9D79" w14:textId="044D7562" w:rsidR="00087CB9" w:rsidRDefault="00087CB9" w:rsidP="00087CB9">
      <w:pPr>
        <w:pStyle w:val="Observation"/>
      </w:pPr>
      <w:r>
        <w:t xml:space="preserve">For allocation size 20 PRBs, at BLER =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-1</m:t>
            </m:r>
          </m:sup>
        </m:sSup>
      </m:oMath>
      <w:r>
        <w:t>, the FDSS brings approximately 2.5 dB SNR loss.</w:t>
      </w:r>
    </w:p>
    <w:p w14:paraId="2A9CF3F7" w14:textId="1F73EEE4" w:rsidR="00087CB9" w:rsidRDefault="00087CB9" w:rsidP="00087CB9">
      <w:pPr>
        <w:pStyle w:val="Observation"/>
      </w:pPr>
      <w:r>
        <w:t xml:space="preserve">For allocation size 5 PRBs, at BLER =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-1</m:t>
            </m:r>
          </m:sup>
        </m:sSup>
      </m:oMath>
      <w:r>
        <w:t>, the FDSS brings more than 4 dB SNR loss.</w:t>
      </w:r>
    </w:p>
    <w:p w14:paraId="44DCFA4C" w14:textId="77777777" w:rsidR="00087CB9" w:rsidRDefault="00087CB9" w:rsidP="001421D8"/>
    <w:p w14:paraId="6AB4C40B" w14:textId="0B4B2884" w:rsidR="001421D8" w:rsidRDefault="00BE1BD3" w:rsidP="00303DA1">
      <w:pPr>
        <w:jc w:val="center"/>
      </w:pPr>
      <w:r w:rsidRPr="00BE1BD3">
        <w:rPr>
          <w:noProof/>
        </w:rPr>
        <w:drawing>
          <wp:inline distT="0" distB="0" distL="0" distR="0" wp14:anchorId="37699BEE" wp14:editId="7335A3AA">
            <wp:extent cx="4420800" cy="311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800" cy="3110400"/>
                    </a:xfrm>
                    <a:prstGeom prst="rect">
                      <a:avLst/>
                    </a:prstGeom>
                  </pic:spPr>
                </pic:pic>
              </a:graphicData>
            </a:graphic>
          </wp:inline>
        </w:drawing>
      </w:r>
    </w:p>
    <w:p w14:paraId="4C05780A" w14:textId="6F0D482F" w:rsidR="00087CB9" w:rsidRPr="00087CB9" w:rsidRDefault="00087CB9" w:rsidP="00087CB9">
      <w:pPr>
        <w:pStyle w:val="Caption"/>
      </w:pPr>
      <w:bookmarkStart w:id="1" w:name="_Ref534970392"/>
      <w:r>
        <w:t xml:space="preserve">Figure </w:t>
      </w:r>
      <w:r>
        <w:fldChar w:fldCharType="begin"/>
      </w:r>
      <w:r>
        <w:instrText xml:space="preserve"> SEQ Figure \* ARABIC </w:instrText>
      </w:r>
      <w:r>
        <w:fldChar w:fldCharType="separate"/>
      </w:r>
      <w:r>
        <w:rPr>
          <w:noProof/>
        </w:rPr>
        <w:t>2</w:t>
      </w:r>
      <w:r>
        <w:fldChar w:fldCharType="end"/>
      </w:r>
      <w:bookmarkEnd w:id="1"/>
      <w:r>
        <w:t>. Results for 20 RB allocations.</w:t>
      </w:r>
    </w:p>
    <w:p w14:paraId="5FFDBF13" w14:textId="77777777" w:rsidR="00087CB9" w:rsidRDefault="00BE1BD3" w:rsidP="00087CB9">
      <w:pPr>
        <w:pStyle w:val="Caption"/>
      </w:pPr>
      <w:r w:rsidRPr="00BE1BD3">
        <w:rPr>
          <w:noProof/>
        </w:rPr>
        <w:drawing>
          <wp:inline distT="0" distB="0" distL="0" distR="0" wp14:anchorId="63A0E628" wp14:editId="16ED92C9">
            <wp:extent cx="4532400" cy="338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32400" cy="3384000"/>
                    </a:xfrm>
                    <a:prstGeom prst="rect">
                      <a:avLst/>
                    </a:prstGeom>
                  </pic:spPr>
                </pic:pic>
              </a:graphicData>
            </a:graphic>
          </wp:inline>
        </w:drawing>
      </w:r>
    </w:p>
    <w:p w14:paraId="389E7F73" w14:textId="755A4D0B" w:rsidR="00087CB9" w:rsidRPr="001421D8" w:rsidRDefault="00087CB9" w:rsidP="00087CB9">
      <w:pPr>
        <w:pStyle w:val="Caption"/>
      </w:pPr>
      <w:bookmarkStart w:id="2" w:name="_Ref534970395"/>
      <w:r>
        <w:t xml:space="preserve">Figure </w:t>
      </w:r>
      <w:r>
        <w:fldChar w:fldCharType="begin"/>
      </w:r>
      <w:r>
        <w:instrText xml:space="preserve"> SEQ Figure \* ARABIC </w:instrText>
      </w:r>
      <w:r>
        <w:fldChar w:fldCharType="separate"/>
      </w:r>
      <w:r>
        <w:rPr>
          <w:noProof/>
        </w:rPr>
        <w:t>3</w:t>
      </w:r>
      <w:r>
        <w:fldChar w:fldCharType="end"/>
      </w:r>
      <w:bookmarkEnd w:id="2"/>
      <w:r>
        <w:t>. Results for 5 RB allocations.</w:t>
      </w:r>
    </w:p>
    <w:p w14:paraId="1035F287" w14:textId="7E581436" w:rsidR="00087CB9" w:rsidRDefault="00087CB9" w:rsidP="00087CB9">
      <w:pPr>
        <w:pStyle w:val="Caption"/>
      </w:pPr>
    </w:p>
    <w:p w14:paraId="48A894D6" w14:textId="49F79FD7" w:rsidR="000A1C02" w:rsidRDefault="003A0684" w:rsidP="003A0684">
      <w:pPr>
        <w:pStyle w:val="Heading2"/>
      </w:pPr>
      <w:r>
        <w:t>CGS of length-12</w:t>
      </w:r>
    </w:p>
    <w:p w14:paraId="4C26421D" w14:textId="157F3001" w:rsidR="000A1C02" w:rsidRDefault="000A1C02" w:rsidP="00ED2816">
      <w:r>
        <w:t xml:space="preserve">For low PAPR scenarios, it is important to evaluate the small allocations. We hereby provide the simulation results for 2 PRBs using the CGS as provided in </w:t>
      </w:r>
      <w:r>
        <w:fldChar w:fldCharType="begin"/>
      </w:r>
      <w:r>
        <w:instrText xml:space="preserve"> REF _Ref534894163 \r \h </w:instrText>
      </w:r>
      <w:r>
        <w:fldChar w:fldCharType="separate"/>
      </w:r>
      <w:r>
        <w:t>[1]</w:t>
      </w:r>
      <w:r>
        <w:fldChar w:fldCharType="end"/>
      </w:r>
      <w:r w:rsidR="008D5398">
        <w:t xml:space="preserve"> for pi/2-BPSK DMRS</w:t>
      </w:r>
      <w:r w:rsidR="00AE49F5">
        <w:t>.</w:t>
      </w:r>
      <w:r w:rsidR="00ED2816">
        <w:t xml:space="preserve"> </w:t>
      </w:r>
      <w:r w:rsidR="008D5398">
        <w:t xml:space="preserve">The change to the block diagram in </w:t>
      </w:r>
      <w:r w:rsidR="008D5398">
        <w:fldChar w:fldCharType="begin"/>
      </w:r>
      <w:r w:rsidR="008D5398">
        <w:instrText xml:space="preserve"> REF _Ref534969873 \h </w:instrText>
      </w:r>
      <w:r w:rsidR="008D5398">
        <w:fldChar w:fldCharType="separate"/>
      </w:r>
      <w:r w:rsidR="008D5398">
        <w:t xml:space="preserve">Figure </w:t>
      </w:r>
      <w:r w:rsidR="008D5398">
        <w:rPr>
          <w:noProof/>
        </w:rPr>
        <w:t>1</w:t>
      </w:r>
      <w:r w:rsidR="008D5398">
        <w:fldChar w:fldCharType="end"/>
      </w:r>
      <w:r w:rsidR="008D5398">
        <w:t xml:space="preserve"> refers to replacing the “Rel-15 Gold seq.” block with a CGS for pi/2-BPSK DMRS.</w:t>
      </w:r>
      <w:r w:rsidR="00530FAF">
        <w:t xml:space="preserve"> The following observations can be made from the figure below.</w:t>
      </w:r>
    </w:p>
    <w:p w14:paraId="2075711F" w14:textId="77777777" w:rsidR="00ED2816" w:rsidRDefault="00ED2816" w:rsidP="00ED2816">
      <w:pPr>
        <w:pStyle w:val="Observation"/>
      </w:pPr>
      <w:r>
        <w:t xml:space="preserve">For allocation size 2 PRBs, at BLER =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-1</m:t>
            </m:r>
          </m:sup>
        </m:sSup>
        <m:r>
          <m:rPr>
            <m:sty m:val="bi"/>
          </m:rPr>
          <w:rPr>
            <w:rFonts w:ascii="Cambria Math" w:hAnsi="Cambria Math"/>
          </w:rPr>
          <m:t>,</m:t>
        </m:r>
      </m:oMath>
      <w:r>
        <w:t xml:space="preserve"> the FDSS brings more than 4 dB SNR loss.</w:t>
      </w:r>
    </w:p>
    <w:p w14:paraId="5481636A" w14:textId="77777777" w:rsidR="00ED2816" w:rsidRPr="00B84E55" w:rsidRDefault="00ED2816" w:rsidP="00ED2816">
      <w:pPr>
        <w:pStyle w:val="Observation"/>
      </w:pPr>
      <w:r>
        <w:t xml:space="preserve">When allocation size is small, for instance, with less than 5 PRBs, the FDSS may bring more than 4 dB SNR loss at the BLER level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-1</m:t>
            </m:r>
          </m:sup>
        </m:sSup>
      </m:oMath>
      <w:r>
        <w:t xml:space="preserve">. </w:t>
      </w:r>
    </w:p>
    <w:p w14:paraId="28DF7AC4" w14:textId="77777777" w:rsidR="00ED2816" w:rsidRDefault="00ED2816" w:rsidP="00ED2816"/>
    <w:p w14:paraId="5C951B4A" w14:textId="3EBF603B" w:rsidR="00654402" w:rsidRDefault="00AE49F5" w:rsidP="00654402">
      <w:pPr>
        <w:jc w:val="center"/>
      </w:pPr>
      <w:r w:rsidRPr="00AE49F5">
        <w:rPr>
          <w:noProof/>
        </w:rPr>
        <w:drawing>
          <wp:inline distT="0" distB="0" distL="0" distR="0" wp14:anchorId="6AD0B8F8" wp14:editId="6B9C0A26">
            <wp:extent cx="3829050" cy="28582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51933" cy="2875370"/>
                    </a:xfrm>
                    <a:prstGeom prst="rect">
                      <a:avLst/>
                    </a:prstGeom>
                  </pic:spPr>
                </pic:pic>
              </a:graphicData>
            </a:graphic>
          </wp:inline>
        </w:drawing>
      </w:r>
    </w:p>
    <w:p w14:paraId="4EDB831C" w14:textId="1119E9BA" w:rsidR="00087CB9" w:rsidRDefault="00087CB9" w:rsidP="00087CB9">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001137A1">
        <w:t>Results for 2 RB allocations.</w:t>
      </w:r>
    </w:p>
    <w:p w14:paraId="1AFE0D37" w14:textId="28E279C4" w:rsidR="00561DAC" w:rsidRDefault="007F1514" w:rsidP="007F1514">
      <w:pPr>
        <w:pStyle w:val="Heading1"/>
      </w:pPr>
      <w:r>
        <w:rPr>
          <w:lang w:val="en-US"/>
        </w:rPr>
        <w:t>Conclusion</w:t>
      </w:r>
    </w:p>
    <w:p w14:paraId="4F34FAFD" w14:textId="46C37FAA" w:rsidR="005704AC" w:rsidRPr="00B84E55" w:rsidRDefault="00FC7433" w:rsidP="00B84E55">
      <w:pPr>
        <w:rPr>
          <w:lang w:val="en-US"/>
        </w:rPr>
      </w:pPr>
      <w:r w:rsidRPr="00175052">
        <w:t xml:space="preserve">Based on the </w:t>
      </w:r>
      <w:r w:rsidR="00B84E55">
        <w:rPr>
          <w:lang w:val="en-US"/>
        </w:rPr>
        <w:t xml:space="preserve">simulation results, </w:t>
      </w:r>
      <w:r w:rsidR="003E3C12">
        <w:rPr>
          <w:lang w:val="en-US"/>
        </w:rPr>
        <w:t>it is observed</w:t>
      </w:r>
      <w:r w:rsidR="00B84E55">
        <w:rPr>
          <w:lang w:val="en-US"/>
        </w:rPr>
        <w:t xml:space="preserve"> that for small allocation size it is questionable that the FDSS brings overall performance gain. For very small allocation size, e.g., PRBs = </w:t>
      </w:r>
      <w:r w:rsidR="00AE49F5">
        <w:rPr>
          <w:lang w:val="en-US"/>
        </w:rPr>
        <w:t>5</w:t>
      </w:r>
      <w:r w:rsidR="00B84E55">
        <w:rPr>
          <w:lang w:val="en-US"/>
        </w:rPr>
        <w:t xml:space="preserve"> </w:t>
      </w:r>
      <w:r w:rsidR="00AE49F5">
        <w:rPr>
          <w:lang w:val="en-US"/>
        </w:rPr>
        <w:t>and 2</w:t>
      </w:r>
      <w:r w:rsidR="00B84E55">
        <w:rPr>
          <w:lang w:val="en-US"/>
        </w:rPr>
        <w:t xml:space="preserve">, the SNR loss shown at the BLER level 10^-1 may be higher than the power back-off when FDSS is applied to the CGS. </w:t>
      </w:r>
      <w:r w:rsidR="00AE1D8F">
        <w:rPr>
          <w:lang w:val="en-US"/>
        </w:rPr>
        <w:t>Hence, it should be verified for a given sequence length that the benefit from PAPR reduction (and reduced PA back-off) is larger than the SNR</w:t>
      </w:r>
      <w:bookmarkStart w:id="3" w:name="_GoBack"/>
      <w:bookmarkEnd w:id="3"/>
      <w:r w:rsidR="00AE1D8F">
        <w:rPr>
          <w:lang w:val="en-US"/>
        </w:rPr>
        <w:t xml:space="preserve"> loss from FDSS. </w:t>
      </w:r>
      <w:r w:rsidR="00B84E55">
        <w:rPr>
          <w:lang w:val="en-US"/>
        </w:rPr>
        <w:t xml:space="preserve"> </w:t>
      </w:r>
    </w:p>
    <w:p w14:paraId="0DEF49B4" w14:textId="7F840ECB" w:rsidR="0045141A" w:rsidRDefault="0026523C" w:rsidP="0026523C">
      <w:pPr>
        <w:pStyle w:val="Heading1"/>
      </w:pPr>
      <w:r>
        <w:t>References</w:t>
      </w:r>
    </w:p>
    <w:p w14:paraId="012AC420" w14:textId="237B7DF1" w:rsidR="00407E14" w:rsidRPr="00407E14" w:rsidRDefault="00407E14" w:rsidP="002B340A">
      <w:pPr>
        <w:pStyle w:val="Reference"/>
      </w:pPr>
      <w:bookmarkStart w:id="4" w:name="_Ref534894163"/>
      <w:bookmarkStart w:id="5" w:name="_Ref534647442"/>
      <w:r>
        <w:t>R1-1814205 Joint proposal on length-12, -18, -24 CG sequences for pi/2 BPSK</w:t>
      </w:r>
      <w:bookmarkEnd w:id="4"/>
    </w:p>
    <w:p w14:paraId="53F5097C" w14:textId="0A19219A" w:rsidR="002919CD" w:rsidRPr="002E0B85" w:rsidRDefault="0005092A" w:rsidP="002B340A">
      <w:pPr>
        <w:pStyle w:val="Reference"/>
      </w:pPr>
      <w:bookmarkStart w:id="6" w:name="_Ref534892808"/>
      <w:r w:rsidRPr="002E0B85">
        <w:t>R1-181</w:t>
      </w:r>
      <w:r w:rsidR="003E6B6F" w:rsidRPr="002E0B85">
        <w:t>3445 Lower PAPR reference signals, Qualcomm</w:t>
      </w:r>
      <w:bookmarkEnd w:id="5"/>
      <w:bookmarkEnd w:id="6"/>
    </w:p>
    <w:p w14:paraId="40374599" w14:textId="0E92B5A6" w:rsidR="00CB5E0B" w:rsidRDefault="00CB5E0B" w:rsidP="00CB5E0B">
      <w:pPr>
        <w:pStyle w:val="Heading1"/>
      </w:pPr>
      <w:r>
        <w:t>Appendix</w:t>
      </w:r>
    </w:p>
    <w:p w14:paraId="2D4F57DB" w14:textId="6CC3B8ED" w:rsidR="00CB5E0B" w:rsidRDefault="00CB5E0B" w:rsidP="00CB5E0B">
      <w:r>
        <w:t xml:space="preserve">The detailed simulation parameters are summarized in the following table. </w:t>
      </w:r>
    </w:p>
    <w:p w14:paraId="4E1F5018" w14:textId="77777777" w:rsidR="00CB5E0B" w:rsidRPr="00CB5E0B" w:rsidRDefault="00CB5E0B" w:rsidP="00CB5E0B">
      <w:pPr>
        <w:overflowPunct/>
        <w:autoSpaceDE/>
        <w:autoSpaceDN/>
        <w:adjustRightInd/>
        <w:spacing w:before="120"/>
        <w:jc w:val="center"/>
        <w:textAlignment w:val="auto"/>
        <w:rPr>
          <w:rFonts w:eastAsia="Times New Roman"/>
          <w:b/>
          <w:bCs/>
          <w:color w:val="000000"/>
          <w:lang w:val="sv-SE"/>
        </w:rPr>
      </w:pPr>
      <w:r w:rsidRPr="00CB5E0B">
        <w:rPr>
          <w:rFonts w:eastAsia="Times New Roman"/>
          <w:b/>
          <w:bCs/>
          <w:color w:val="000000"/>
          <w:lang w:val="en-US"/>
        </w:rPr>
        <w:lastRenderedPageBreak/>
        <w:t>Table 4. Link-level simulation assumptions</w:t>
      </w:r>
    </w:p>
    <w:tbl>
      <w:tblPr>
        <w:tblW w:w="8070" w:type="dxa"/>
        <w:jc w:val="center"/>
        <w:tblCellMar>
          <w:left w:w="0" w:type="dxa"/>
          <w:right w:w="0" w:type="dxa"/>
        </w:tblCellMar>
        <w:tblLook w:val="04A0" w:firstRow="1" w:lastRow="0" w:firstColumn="1" w:lastColumn="0" w:noHBand="0" w:noVBand="1"/>
      </w:tblPr>
      <w:tblGrid>
        <w:gridCol w:w="2540"/>
        <w:gridCol w:w="5530"/>
      </w:tblGrid>
      <w:tr w:rsidR="00CB5E0B" w:rsidRPr="00CB5E0B" w14:paraId="04F13CF3" w14:textId="77777777" w:rsidTr="00CB5E0B">
        <w:trPr>
          <w:trHeight w:val="508"/>
          <w:jc w:val="center"/>
        </w:trPr>
        <w:tc>
          <w:tcPr>
            <w:tcW w:w="2540" w:type="dxa"/>
            <w:tcBorders>
              <w:top w:val="single" w:sz="8" w:space="0" w:color="BFBFBF"/>
              <w:left w:val="single" w:sz="8" w:space="0" w:color="BFBFBF"/>
              <w:bottom w:val="single" w:sz="8" w:space="0" w:color="BFBFBF"/>
              <w:right w:val="single" w:sz="8" w:space="0" w:color="BFBFBF"/>
            </w:tcBorders>
            <w:tcMar>
              <w:top w:w="0" w:type="dxa"/>
              <w:left w:w="108" w:type="dxa"/>
              <w:bottom w:w="0" w:type="dxa"/>
              <w:right w:w="108" w:type="dxa"/>
            </w:tcMar>
            <w:hideMark/>
          </w:tcPr>
          <w:p w14:paraId="225079CB"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System bandwidth</w:t>
            </w:r>
          </w:p>
        </w:tc>
        <w:tc>
          <w:tcPr>
            <w:tcW w:w="5530"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045D28C2" w14:textId="57A47F08"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20 M</w:t>
            </w:r>
            <w:r w:rsidR="00D358D6">
              <w:rPr>
                <w:rFonts w:eastAsia="Times New Roman"/>
                <w:lang w:val="en-US"/>
              </w:rPr>
              <w:t>H</w:t>
            </w:r>
            <w:r w:rsidRPr="00CB5E0B">
              <w:rPr>
                <w:rFonts w:eastAsia="Times New Roman"/>
                <w:lang w:val="en-US"/>
              </w:rPr>
              <w:t>z</w:t>
            </w:r>
          </w:p>
        </w:tc>
      </w:tr>
      <w:tr w:rsidR="00CB5E0B" w:rsidRPr="00CB5E0B" w14:paraId="373B4357"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35BBD8AC"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Numerology</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02740047"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30 KHz SCS</w:t>
            </w:r>
          </w:p>
        </w:tc>
      </w:tr>
      <w:tr w:rsidR="00CB5E0B" w:rsidRPr="00CB5E0B" w14:paraId="0689FA76"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77932623"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Channel</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632B1322" w14:textId="1E37D165"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TDL-A 300ns</w:t>
            </w:r>
          </w:p>
        </w:tc>
      </w:tr>
      <w:tr w:rsidR="00CB5E0B" w:rsidRPr="00CB5E0B" w14:paraId="304ADBA9"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765A450D"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Number of Antennas</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0017E8CE" w14:textId="1D1F532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UE Tx=2, gNB Rx = 4</w:t>
            </w:r>
          </w:p>
        </w:tc>
      </w:tr>
      <w:tr w:rsidR="00CB5E0B" w:rsidRPr="00CB5E0B" w14:paraId="2F8ACB47" w14:textId="77777777" w:rsidTr="00CB5E0B">
        <w:trPr>
          <w:trHeight w:val="701"/>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42D9BE68"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PUSCH duration</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366A855B" w14:textId="0446936A" w:rsidR="00CB5E0B" w:rsidRPr="00CB5E0B" w:rsidRDefault="00CB5E0B" w:rsidP="00CB5E0B">
            <w:pPr>
              <w:overflowPunct/>
              <w:autoSpaceDE/>
              <w:autoSpaceDN/>
              <w:adjustRightInd/>
              <w:spacing w:after="0"/>
              <w:jc w:val="left"/>
              <w:textAlignment w:val="auto"/>
              <w:rPr>
                <w:rFonts w:eastAsia="Times New Roman"/>
                <w:lang w:val="en-US"/>
              </w:rPr>
            </w:pPr>
            <w:r>
              <w:rPr>
                <w:rFonts w:eastAsia="Times New Roman"/>
                <w:lang w:val="en-US"/>
              </w:rPr>
              <w:t>13</w:t>
            </w:r>
            <w:r w:rsidRPr="00CB5E0B">
              <w:rPr>
                <w:rFonts w:eastAsia="Times New Roman"/>
                <w:lang w:val="en-US"/>
              </w:rPr>
              <w:t xml:space="preserve"> OFDM symbols, with one front-loaded DMRS symbols</w:t>
            </w:r>
          </w:p>
        </w:tc>
      </w:tr>
      <w:tr w:rsidR="00CB5E0B" w:rsidRPr="00CB5E0B" w14:paraId="3DE1FA25" w14:textId="77777777" w:rsidTr="00CB5E0B">
        <w:trPr>
          <w:trHeight w:val="471"/>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7AA526C0"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Number of UEs</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2CCC8A4A"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1 UE</w:t>
            </w:r>
          </w:p>
        </w:tc>
      </w:tr>
      <w:tr w:rsidR="00CB5E0B" w:rsidRPr="00CB5E0B" w14:paraId="0AEC5EB6"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21463F4D"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 RBs for PUSCH</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1EF728FE" w14:textId="1BCA9D88" w:rsidR="00CB5E0B" w:rsidRPr="00CB5E0B" w:rsidRDefault="00AE49F5" w:rsidP="00CB5E0B">
            <w:pPr>
              <w:overflowPunct/>
              <w:autoSpaceDE/>
              <w:autoSpaceDN/>
              <w:adjustRightInd/>
              <w:spacing w:after="0"/>
              <w:jc w:val="left"/>
              <w:textAlignment w:val="auto"/>
              <w:rPr>
                <w:rFonts w:eastAsia="Times New Roman"/>
                <w:lang w:val="sv-SE"/>
              </w:rPr>
            </w:pPr>
            <w:r>
              <w:rPr>
                <w:rFonts w:eastAsia="Times New Roman"/>
                <w:lang w:val="en-US"/>
              </w:rPr>
              <w:t>20, 5, 2</w:t>
            </w:r>
            <w:r w:rsidR="00CB5E0B" w:rsidRPr="00CB5E0B">
              <w:rPr>
                <w:rFonts w:eastAsia="Times New Roman"/>
                <w:lang w:val="en-US"/>
              </w:rPr>
              <w:t xml:space="preserve"> RBs</w:t>
            </w:r>
          </w:p>
        </w:tc>
      </w:tr>
      <w:tr w:rsidR="00CB5E0B" w:rsidRPr="00CB5E0B" w14:paraId="59A3F9A6"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28FA15B4"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Carrier Frequency</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1D1F6CF7"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4 GHz</w:t>
            </w:r>
          </w:p>
        </w:tc>
      </w:tr>
      <w:tr w:rsidR="00CB5E0B" w:rsidRPr="00CB5E0B" w14:paraId="38B45514"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02AD3ECF"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Coding rate</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4B4F3515"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0.25 </w:t>
            </w:r>
          </w:p>
        </w:tc>
      </w:tr>
      <w:tr w:rsidR="00CB5E0B" w:rsidRPr="00CB5E0B" w14:paraId="50636236"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7930A0B3"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Coding </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5991FB52"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NR LDPC + CRC</w:t>
            </w:r>
          </w:p>
        </w:tc>
      </w:tr>
      <w:tr w:rsidR="00CB5E0B" w:rsidRPr="00CB5E0B" w14:paraId="555FCAEB" w14:textId="77777777" w:rsidTr="00CB5E0B">
        <w:trPr>
          <w:trHeight w:val="508"/>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0FBBA143"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UE Speed</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2C26538B" w14:textId="547B2166" w:rsidR="00CB5E0B" w:rsidRPr="00CB5E0B" w:rsidRDefault="00CB5E0B" w:rsidP="00CB5E0B">
            <w:pPr>
              <w:overflowPunct/>
              <w:autoSpaceDE/>
              <w:autoSpaceDN/>
              <w:adjustRightInd/>
              <w:spacing w:after="0"/>
              <w:jc w:val="left"/>
              <w:textAlignment w:val="auto"/>
              <w:rPr>
                <w:rFonts w:eastAsia="Times New Roman"/>
                <w:lang w:val="sv-SE"/>
              </w:rPr>
            </w:pPr>
            <w:r>
              <w:rPr>
                <w:rFonts w:eastAsia="Times New Roman"/>
                <w:lang w:val="en-US"/>
              </w:rPr>
              <w:t>3</w:t>
            </w:r>
            <w:r w:rsidRPr="00CB5E0B">
              <w:rPr>
                <w:rFonts w:eastAsia="Times New Roman"/>
                <w:lang w:val="en-US"/>
              </w:rPr>
              <w:t xml:space="preserve"> Km</w:t>
            </w:r>
            <w:r w:rsidR="00D358D6">
              <w:rPr>
                <w:rFonts w:eastAsia="Times New Roman"/>
                <w:lang w:val="en-US"/>
              </w:rPr>
              <w:t>/</w:t>
            </w:r>
            <w:r w:rsidRPr="00CB5E0B">
              <w:rPr>
                <w:rFonts w:eastAsia="Times New Roman"/>
                <w:lang w:val="en-US"/>
              </w:rPr>
              <w:t>h </w:t>
            </w:r>
          </w:p>
        </w:tc>
      </w:tr>
      <w:tr w:rsidR="00CB5E0B" w:rsidRPr="00CB5E0B" w14:paraId="732A0A18" w14:textId="77777777" w:rsidTr="00CB5E0B">
        <w:trPr>
          <w:trHeight w:val="701"/>
          <w:jc w:val="center"/>
        </w:trPr>
        <w:tc>
          <w:tcPr>
            <w:tcW w:w="2540"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56F887E4" w14:textId="77777777" w:rsidR="00CB5E0B" w:rsidRPr="00CB5E0B" w:rsidRDefault="00CB5E0B" w:rsidP="00CB5E0B">
            <w:pPr>
              <w:overflowPunct/>
              <w:autoSpaceDE/>
              <w:autoSpaceDN/>
              <w:adjustRightInd/>
              <w:spacing w:after="0"/>
              <w:jc w:val="left"/>
              <w:textAlignment w:val="auto"/>
              <w:rPr>
                <w:rFonts w:eastAsia="Times New Roman"/>
                <w:lang w:val="sv-SE"/>
              </w:rPr>
            </w:pPr>
            <w:r w:rsidRPr="00CB5E0B">
              <w:rPr>
                <w:rFonts w:eastAsia="Times New Roman"/>
                <w:lang w:val="en-US"/>
              </w:rPr>
              <w:t>Receiver</w:t>
            </w:r>
          </w:p>
        </w:tc>
        <w:tc>
          <w:tcPr>
            <w:tcW w:w="5530" w:type="dxa"/>
            <w:tcBorders>
              <w:top w:val="nil"/>
              <w:left w:val="nil"/>
              <w:bottom w:val="single" w:sz="8" w:space="0" w:color="BFBFBF"/>
              <w:right w:val="single" w:sz="8" w:space="0" w:color="BFBFBF"/>
            </w:tcBorders>
            <w:tcMar>
              <w:top w:w="0" w:type="dxa"/>
              <w:left w:w="108" w:type="dxa"/>
              <w:bottom w:w="0" w:type="dxa"/>
              <w:right w:w="108" w:type="dxa"/>
            </w:tcMar>
            <w:hideMark/>
          </w:tcPr>
          <w:p w14:paraId="17820C99" w14:textId="77777777" w:rsidR="00CB5E0B" w:rsidRPr="00CB5E0B" w:rsidRDefault="00CB5E0B" w:rsidP="00CB5E0B">
            <w:pPr>
              <w:overflowPunct/>
              <w:autoSpaceDE/>
              <w:autoSpaceDN/>
              <w:adjustRightInd/>
              <w:spacing w:after="0"/>
              <w:jc w:val="left"/>
              <w:textAlignment w:val="auto"/>
              <w:rPr>
                <w:rFonts w:eastAsia="Times New Roman"/>
                <w:lang w:val="en-US"/>
              </w:rPr>
            </w:pPr>
            <w:r w:rsidRPr="00CB5E0B">
              <w:rPr>
                <w:rFonts w:eastAsia="Times New Roman"/>
                <w:lang w:val="en-US"/>
              </w:rPr>
              <w:t>Practical Channel Estimation and Ideal Noise Estimation</w:t>
            </w:r>
          </w:p>
        </w:tc>
      </w:tr>
    </w:tbl>
    <w:p w14:paraId="2B9A3BDC" w14:textId="77777777" w:rsidR="00CB5E0B" w:rsidRPr="00CB5E0B" w:rsidRDefault="00CB5E0B" w:rsidP="00CB5E0B">
      <w:pPr>
        <w:rPr>
          <w:lang w:val="en-US"/>
        </w:rPr>
      </w:pPr>
    </w:p>
    <w:sectPr w:rsidR="00CB5E0B" w:rsidRPr="00CB5E0B"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E2302" w14:textId="77777777" w:rsidR="00712D8D" w:rsidRDefault="00712D8D">
      <w:r>
        <w:separator/>
      </w:r>
    </w:p>
  </w:endnote>
  <w:endnote w:type="continuationSeparator" w:id="0">
    <w:p w14:paraId="3FF1A393" w14:textId="77777777" w:rsidR="00712D8D" w:rsidRDefault="0071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altName w:val="Calibri"/>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610252" w:rsidRDefault="00610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19E83" w14:textId="77777777" w:rsidR="00712D8D" w:rsidRDefault="00712D8D">
      <w:r>
        <w:separator/>
      </w:r>
    </w:p>
  </w:footnote>
  <w:footnote w:type="continuationSeparator" w:id="0">
    <w:p w14:paraId="3A432BDB" w14:textId="77777777" w:rsidR="00712D8D" w:rsidRDefault="0071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10252" w:rsidRDefault="006102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E4272A"/>
    <w:multiLevelType w:val="hybridMultilevel"/>
    <w:tmpl w:val="4D9C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5"/>
  </w:num>
  <w:num w:numId="4">
    <w:abstractNumId w:val="6"/>
  </w:num>
  <w:num w:numId="5">
    <w:abstractNumId w:val="2"/>
  </w:num>
  <w:num w:numId="6">
    <w:abstractNumId w:val="8"/>
  </w:num>
  <w:num w:numId="7">
    <w:abstractNumId w:val="12"/>
  </w:num>
  <w:num w:numId="8">
    <w:abstractNumId w:val="3"/>
  </w:num>
  <w:num w:numId="9">
    <w:abstractNumId w:val="11"/>
  </w:num>
  <w:num w:numId="10">
    <w:abstractNumId w:val="4"/>
  </w:num>
  <w:num w:numId="11">
    <w:abstractNumId w:val="13"/>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398"/>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86F3D"/>
    <w:rsid w:val="00087CB9"/>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1C02"/>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7A1"/>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1D8"/>
    <w:rsid w:val="001425D4"/>
    <w:rsid w:val="00142E84"/>
    <w:rsid w:val="00145654"/>
    <w:rsid w:val="00146A8C"/>
    <w:rsid w:val="00146A8F"/>
    <w:rsid w:val="00151734"/>
    <w:rsid w:val="00151E23"/>
    <w:rsid w:val="001526E0"/>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C4D"/>
    <w:rsid w:val="00197DF9"/>
    <w:rsid w:val="001A0FCE"/>
    <w:rsid w:val="001A1987"/>
    <w:rsid w:val="001A2564"/>
    <w:rsid w:val="001A43E7"/>
    <w:rsid w:val="001A563E"/>
    <w:rsid w:val="001A5DB2"/>
    <w:rsid w:val="001A5E55"/>
    <w:rsid w:val="001A6173"/>
    <w:rsid w:val="001A6CBA"/>
    <w:rsid w:val="001B03F3"/>
    <w:rsid w:val="001B0D97"/>
    <w:rsid w:val="001B3648"/>
    <w:rsid w:val="001B4C09"/>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5E81"/>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6EAA"/>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40A3"/>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340A"/>
    <w:rsid w:val="002B5A3D"/>
    <w:rsid w:val="002B6176"/>
    <w:rsid w:val="002B7EBD"/>
    <w:rsid w:val="002C0280"/>
    <w:rsid w:val="002C0B86"/>
    <w:rsid w:val="002C1610"/>
    <w:rsid w:val="002C2DC4"/>
    <w:rsid w:val="002C41E6"/>
    <w:rsid w:val="002C4CEA"/>
    <w:rsid w:val="002C4D7A"/>
    <w:rsid w:val="002C6300"/>
    <w:rsid w:val="002D071A"/>
    <w:rsid w:val="002D133C"/>
    <w:rsid w:val="002D34B2"/>
    <w:rsid w:val="002D4253"/>
    <w:rsid w:val="002D43C7"/>
    <w:rsid w:val="002D5A9A"/>
    <w:rsid w:val="002D7637"/>
    <w:rsid w:val="002D7B37"/>
    <w:rsid w:val="002E093B"/>
    <w:rsid w:val="002E0B85"/>
    <w:rsid w:val="002E17F2"/>
    <w:rsid w:val="002E3518"/>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3DA1"/>
    <w:rsid w:val="0030501F"/>
    <w:rsid w:val="00305213"/>
    <w:rsid w:val="003054FD"/>
    <w:rsid w:val="00305C02"/>
    <w:rsid w:val="00305D4D"/>
    <w:rsid w:val="0030628D"/>
    <w:rsid w:val="00306EF0"/>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6C9A"/>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4AC0"/>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684"/>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3C12"/>
    <w:rsid w:val="003E55E4"/>
    <w:rsid w:val="003E694E"/>
    <w:rsid w:val="003E6B6F"/>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621F"/>
    <w:rsid w:val="00407CD3"/>
    <w:rsid w:val="00407E14"/>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1C98"/>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CD"/>
    <w:rsid w:val="004743EE"/>
    <w:rsid w:val="0047556B"/>
    <w:rsid w:val="00475DD4"/>
    <w:rsid w:val="00476C25"/>
    <w:rsid w:val="00477768"/>
    <w:rsid w:val="00477AF2"/>
    <w:rsid w:val="00477B73"/>
    <w:rsid w:val="00481584"/>
    <w:rsid w:val="00481B5C"/>
    <w:rsid w:val="00483C1D"/>
    <w:rsid w:val="00485F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2CA4"/>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140"/>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0FA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2BCD"/>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4FC8"/>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3FBC"/>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402"/>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D7DC2"/>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D8D"/>
    <w:rsid w:val="00712F0C"/>
    <w:rsid w:val="007148D3"/>
    <w:rsid w:val="00714B0C"/>
    <w:rsid w:val="007153A5"/>
    <w:rsid w:val="00715B9A"/>
    <w:rsid w:val="00715C1B"/>
    <w:rsid w:val="00715DD7"/>
    <w:rsid w:val="00717834"/>
    <w:rsid w:val="00717E83"/>
    <w:rsid w:val="00717FAA"/>
    <w:rsid w:val="007226C6"/>
    <w:rsid w:val="007227B2"/>
    <w:rsid w:val="00724CFB"/>
    <w:rsid w:val="0072649C"/>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1D33"/>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47E8"/>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151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0627"/>
    <w:rsid w:val="008859E6"/>
    <w:rsid w:val="008874AD"/>
    <w:rsid w:val="0089143E"/>
    <w:rsid w:val="008917B3"/>
    <w:rsid w:val="00891D41"/>
    <w:rsid w:val="00892536"/>
    <w:rsid w:val="00893DFA"/>
    <w:rsid w:val="0089445F"/>
    <w:rsid w:val="00894A88"/>
    <w:rsid w:val="00895386"/>
    <w:rsid w:val="008970BE"/>
    <w:rsid w:val="008A16E5"/>
    <w:rsid w:val="008A1D9D"/>
    <w:rsid w:val="008A21FF"/>
    <w:rsid w:val="008A2931"/>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398"/>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1B1"/>
    <w:rsid w:val="00A55537"/>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8792B"/>
    <w:rsid w:val="00A916AB"/>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4AD"/>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F94"/>
    <w:rsid w:val="00AD45AE"/>
    <w:rsid w:val="00AD4A5A"/>
    <w:rsid w:val="00AD5B85"/>
    <w:rsid w:val="00AE03E8"/>
    <w:rsid w:val="00AE05B0"/>
    <w:rsid w:val="00AE0DC8"/>
    <w:rsid w:val="00AE124B"/>
    <w:rsid w:val="00AE1303"/>
    <w:rsid w:val="00AE1D8F"/>
    <w:rsid w:val="00AE22D5"/>
    <w:rsid w:val="00AE27AC"/>
    <w:rsid w:val="00AE2871"/>
    <w:rsid w:val="00AE2FEB"/>
    <w:rsid w:val="00AE40E0"/>
    <w:rsid w:val="00AE49F5"/>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4A24"/>
    <w:rsid w:val="00B36A76"/>
    <w:rsid w:val="00B36F5B"/>
    <w:rsid w:val="00B372AA"/>
    <w:rsid w:val="00B3745E"/>
    <w:rsid w:val="00B40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4E55"/>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BD3"/>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C9"/>
    <w:rsid w:val="00CA6EF3"/>
    <w:rsid w:val="00CB1945"/>
    <w:rsid w:val="00CB1C00"/>
    <w:rsid w:val="00CB1E33"/>
    <w:rsid w:val="00CB1F63"/>
    <w:rsid w:val="00CB29BE"/>
    <w:rsid w:val="00CB4F8A"/>
    <w:rsid w:val="00CB5842"/>
    <w:rsid w:val="00CB5B06"/>
    <w:rsid w:val="00CB5E0B"/>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58D6"/>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D45DD"/>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941"/>
    <w:rsid w:val="00E20D4E"/>
    <w:rsid w:val="00E2136F"/>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539A"/>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3CEF"/>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2816"/>
    <w:rsid w:val="00ED3F8A"/>
    <w:rsid w:val="00ED4A02"/>
    <w:rsid w:val="00ED55C7"/>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1F3"/>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65DD"/>
    <w:rsid w:val="00FC7429"/>
    <w:rsid w:val="00FC7433"/>
    <w:rsid w:val="00FD07F6"/>
    <w:rsid w:val="00FD0EF6"/>
    <w:rsid w:val="00FD11AE"/>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apple-converted-space">
    <w:name w:val="apple-converted-space"/>
    <w:basedOn w:val="DefaultParagraphFont"/>
    <w:rsid w:val="00CB5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776037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16386BB3-CCEB-4110-B5A3-38B31C929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163</TotalTime>
  <Pages>4</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28</cp:revision>
  <cp:lastPrinted>2008-01-31T15:09:00Z</cp:lastPrinted>
  <dcterms:created xsi:type="dcterms:W3CDTF">2019-01-07T12:35:00Z</dcterms:created>
  <dcterms:modified xsi:type="dcterms:W3CDTF">2019-01-11T14:55:00Z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